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A2" w:rsidRDefault="00331BA2" w:rsidP="00331BA2">
      <w:pPr>
        <w:pStyle w:val="Kop1"/>
        <w:jc w:val="center"/>
      </w:pPr>
      <w:r>
        <w:t>Breng je organisatie in beeld</w:t>
      </w:r>
    </w:p>
    <w:p w:rsidR="00331BA2" w:rsidRDefault="00331BA2" w:rsidP="00331BA2"/>
    <w:p w:rsidR="00331BA2" w:rsidRDefault="00331BA2" w:rsidP="00331BA2">
      <w:pPr>
        <w:rPr>
          <w:sz w:val="28"/>
          <w:szCs w:val="28"/>
        </w:rPr>
      </w:pPr>
      <w:r>
        <w:rPr>
          <w:sz w:val="28"/>
          <w:szCs w:val="28"/>
        </w:rPr>
        <w:t>Voor je organisatie moet je investeren. Om te investeren heb je geld nodig.</w:t>
      </w:r>
    </w:p>
    <w:p w:rsidR="00331BA2" w:rsidRDefault="00331BA2" w:rsidP="00331BA2">
      <w:pPr>
        <w:rPr>
          <w:sz w:val="28"/>
          <w:szCs w:val="28"/>
        </w:rPr>
      </w:pPr>
      <w:r>
        <w:rPr>
          <w:sz w:val="28"/>
          <w:szCs w:val="28"/>
        </w:rPr>
        <w:t xml:space="preserve">Om in aanmerking te komen voor de gelden, dien je de organisatie in kaart te brengen op papier en moet je een aanvraag sturen voor een subsidie of lening naar de </w:t>
      </w:r>
      <w:proofErr w:type="spellStart"/>
      <w:r>
        <w:rPr>
          <w:sz w:val="28"/>
          <w:szCs w:val="28"/>
        </w:rPr>
        <w:t>LandvanStede</w:t>
      </w:r>
      <w:proofErr w:type="spellEnd"/>
      <w:r>
        <w:rPr>
          <w:sz w:val="28"/>
          <w:szCs w:val="28"/>
        </w:rPr>
        <w:t xml:space="preserve"> bank.</w:t>
      </w:r>
    </w:p>
    <w:p w:rsidR="00331BA2" w:rsidRPr="008D4A26" w:rsidRDefault="00331BA2" w:rsidP="00331BA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D4A26">
        <w:rPr>
          <w:sz w:val="28"/>
          <w:szCs w:val="28"/>
        </w:rPr>
        <w:t>Jouw organisatie komt in aanmerking voor een subsidie, wanneer het complete plaatje klopt met de voorwaarden die worden gesteld.</w:t>
      </w:r>
    </w:p>
    <w:p w:rsidR="00331BA2" w:rsidRPr="008D4A26" w:rsidRDefault="00331BA2" w:rsidP="00331BA2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D4A26">
        <w:rPr>
          <w:sz w:val="28"/>
          <w:szCs w:val="28"/>
        </w:rPr>
        <w:t>De organisatie komt in aanmerking voor een lening als aan de voorwaarden niet helemaal is voldaan, een lening dien je als organisatie aan het eind van WIO in periode 3 volledig te hebben afgelost.</w:t>
      </w:r>
    </w:p>
    <w:p w:rsidR="00331BA2" w:rsidRPr="00C07DE2" w:rsidRDefault="00331BA2" w:rsidP="00331BA2">
      <w:pPr>
        <w:pStyle w:val="Normaalweb"/>
        <w:shd w:val="clear" w:color="auto" w:fill="F6F6F7"/>
        <w:spacing w:before="0" w:beforeAutospacing="0" w:after="300" w:afterAutospacing="0" w:line="270" w:lineRule="atLeast"/>
        <w:rPr>
          <w:rFonts w:ascii="Arial" w:hAnsi="Arial" w:cs="Arial"/>
          <w:color w:val="333333"/>
          <w:sz w:val="20"/>
          <w:szCs w:val="20"/>
        </w:rPr>
      </w:pPr>
      <w:r w:rsidRPr="00C07DE2">
        <w:rPr>
          <w:rFonts w:ascii="Arial" w:hAnsi="Arial" w:cs="Arial"/>
          <w:color w:val="333333"/>
          <w:sz w:val="20"/>
          <w:szCs w:val="20"/>
        </w:rPr>
        <w:t>De zaken die je niet begrijpt in de volgende stappen</w:t>
      </w:r>
      <w:r>
        <w:rPr>
          <w:rFonts w:ascii="Arial" w:hAnsi="Arial" w:cs="Arial"/>
          <w:color w:val="333333"/>
          <w:sz w:val="20"/>
          <w:szCs w:val="20"/>
        </w:rPr>
        <w:t>, zoek je eerst op, op internet, dus eerst zelf kijken en daarna pas vragen….</w:t>
      </w:r>
    </w:p>
    <w:p w:rsidR="00331BA2" w:rsidRDefault="00331BA2" w:rsidP="00331BA2">
      <w:pPr>
        <w:pStyle w:val="Kop2"/>
      </w:pPr>
      <w:r>
        <w:t>Stap 1</w:t>
      </w:r>
    </w:p>
    <w:p w:rsidR="00331BA2" w:rsidRDefault="00331BA2" w:rsidP="00331BA2">
      <w:pPr>
        <w:pStyle w:val="Normaalweb"/>
        <w:shd w:val="clear" w:color="auto" w:fill="F6F6F7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Een bedrijf starten kost geld. Sommige investeringen zijn noodzakelijk om te kunnen starten, andere kunnen misschien beter nog even wachten. In de investeringsbegroting zet u op een rij wat u minimaal nodig heeft om te kunnen starten.</w:t>
      </w:r>
    </w:p>
    <w:p w:rsidR="00331BA2" w:rsidRDefault="00331BA2" w:rsidP="00331BA2">
      <w:pPr>
        <w:pStyle w:val="Kop2"/>
        <w:shd w:val="clear" w:color="auto" w:fill="F6F6F7"/>
        <w:spacing w:before="0" w:after="105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Opbouw investeringsbegroting</w:t>
      </w:r>
    </w:p>
    <w:p w:rsidR="00331BA2" w:rsidRDefault="00331BA2" w:rsidP="00331BA2">
      <w:pPr>
        <w:pStyle w:val="Normaalweb"/>
        <w:shd w:val="clear" w:color="auto" w:fill="F6F6F7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De investeringsbegroting is onderverdeeld in vaste activa en vlottende activa:</w:t>
      </w:r>
    </w:p>
    <w:p w:rsidR="00331BA2" w:rsidRDefault="00331BA2" w:rsidP="00331BA2">
      <w:pPr>
        <w:pStyle w:val="Kop3"/>
        <w:shd w:val="clear" w:color="auto" w:fill="F6F6F7"/>
        <w:spacing w:before="0" w:after="105"/>
        <w:rPr>
          <w:rFonts w:ascii="Arial" w:hAnsi="Arial" w:cs="Arial"/>
          <w:color w:val="003366"/>
          <w:sz w:val="18"/>
          <w:szCs w:val="18"/>
        </w:rPr>
      </w:pPr>
      <w:r>
        <w:rPr>
          <w:rFonts w:ascii="Arial" w:hAnsi="Arial" w:cs="Arial"/>
          <w:color w:val="003366"/>
          <w:sz w:val="18"/>
          <w:szCs w:val="18"/>
        </w:rPr>
        <w:t>Vaste activa</w:t>
      </w:r>
    </w:p>
    <w:p w:rsidR="00331BA2" w:rsidRDefault="00331BA2" w:rsidP="00331BA2">
      <w:pPr>
        <w:pStyle w:val="Normaalweb"/>
        <w:shd w:val="clear" w:color="auto" w:fill="F6F6F7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Bedrijfsmiddelen die langer dan een jaar in uw bedrijf aanwezig zijn. Bijvoorbeeld een computer, printer, inventaris, of  bedrijfsauto</w:t>
      </w:r>
    </w:p>
    <w:p w:rsidR="00331BA2" w:rsidRDefault="00331BA2" w:rsidP="00331BA2">
      <w:pPr>
        <w:pStyle w:val="Kop3"/>
        <w:shd w:val="clear" w:color="auto" w:fill="F6F6F7"/>
        <w:spacing w:before="0" w:after="105"/>
        <w:rPr>
          <w:rFonts w:ascii="Arial" w:hAnsi="Arial" w:cs="Arial"/>
          <w:color w:val="003366"/>
          <w:sz w:val="18"/>
          <w:szCs w:val="18"/>
        </w:rPr>
      </w:pPr>
      <w:r>
        <w:rPr>
          <w:rFonts w:ascii="Arial" w:hAnsi="Arial" w:cs="Arial"/>
          <w:color w:val="003366"/>
          <w:sz w:val="18"/>
          <w:szCs w:val="18"/>
        </w:rPr>
        <w:t>Vlottende activa</w:t>
      </w:r>
    </w:p>
    <w:p w:rsidR="00331BA2" w:rsidRDefault="00331BA2" w:rsidP="00331BA2">
      <w:pPr>
        <w:pStyle w:val="Normaalweb"/>
        <w:shd w:val="clear" w:color="auto" w:fill="F6F6F7"/>
        <w:spacing w:before="0" w:beforeAutospacing="0" w:after="30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Bedrijfsmiddelen die korter dan een jaar in uw bedrijf aanwezig zijn, zijn de vlottende activa. Bijvoorbeeld voorraden, Aanloop- en openingskosten zijn kosten die u maakt voordat u omzet maakt, zoals notariskosten, uw inschrijving bij de KvK, levensonderhoud in de eerste periode na de start, marktonderzoek, advieskosten, visitekaartjes en briefpapier.</w:t>
      </w:r>
    </w:p>
    <w:p w:rsidR="00331BA2" w:rsidRDefault="00331BA2" w:rsidP="00331BA2">
      <w:pPr>
        <w:pStyle w:val="Kop2"/>
        <w:shd w:val="clear" w:color="auto" w:fill="F6F6F7"/>
        <w:spacing w:before="0"/>
        <w:rPr>
          <w:rFonts w:ascii="Arial" w:hAnsi="Arial" w:cs="Arial"/>
          <w:color w:val="003366"/>
          <w:sz w:val="21"/>
          <w:szCs w:val="21"/>
        </w:rPr>
      </w:pPr>
      <w:r>
        <w:rPr>
          <w:rFonts w:ascii="Arial" w:hAnsi="Arial" w:cs="Arial"/>
          <w:color w:val="003366"/>
          <w:sz w:val="21"/>
          <w:szCs w:val="21"/>
        </w:rPr>
        <w:t>Tips bij de investeringsbegroting</w:t>
      </w:r>
    </w:p>
    <w:p w:rsidR="00331BA2" w:rsidRDefault="00331BA2" w:rsidP="00331BA2">
      <w:pPr>
        <w:numPr>
          <w:ilvl w:val="0"/>
          <w:numId w:val="2"/>
        </w:numPr>
        <w:shd w:val="clear" w:color="auto" w:fill="F6F6F7"/>
        <w:spacing w:after="0" w:line="240" w:lineRule="atLeast"/>
        <w:ind w:left="0" w:right="225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Onderbouw de bedragen met offertes.</w:t>
      </w:r>
    </w:p>
    <w:p w:rsidR="00331BA2" w:rsidRDefault="00331BA2" w:rsidP="00331BA2">
      <w:pPr>
        <w:numPr>
          <w:ilvl w:val="0"/>
          <w:numId w:val="2"/>
        </w:numPr>
        <w:shd w:val="clear" w:color="auto" w:fill="F6F6F7"/>
        <w:spacing w:after="0" w:line="240" w:lineRule="atLeast"/>
        <w:ind w:left="0" w:right="225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Vraag offertes op bij meerdere leveranciers om zo tot een juiste keuze te komen.</w:t>
      </w:r>
    </w:p>
    <w:p w:rsidR="00331BA2" w:rsidRDefault="00331BA2" w:rsidP="00331BA2">
      <w:pPr>
        <w:numPr>
          <w:ilvl w:val="0"/>
          <w:numId w:val="2"/>
        </w:numPr>
        <w:shd w:val="clear" w:color="auto" w:fill="F6F6F7"/>
        <w:spacing w:after="0" w:line="240" w:lineRule="atLeast"/>
        <w:ind w:left="0" w:right="225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Houd rekening met onvoorziene kosten.</w:t>
      </w:r>
    </w:p>
    <w:p w:rsidR="00331BA2" w:rsidRDefault="00331BA2" w:rsidP="00331BA2">
      <w:pPr>
        <w:rPr>
          <w:sz w:val="28"/>
          <w:szCs w:val="28"/>
        </w:rPr>
      </w:pPr>
    </w:p>
    <w:p w:rsidR="00331BA2" w:rsidRPr="008D4A26" w:rsidRDefault="00331BA2" w:rsidP="00331BA2">
      <w:pPr>
        <w:shd w:val="clear" w:color="auto" w:fill="F6F6F7"/>
        <w:spacing w:after="300" w:line="270" w:lineRule="atLeast"/>
        <w:rPr>
          <w:rFonts w:ascii="Arial" w:eastAsia="Times New Roman" w:hAnsi="Arial" w:cs="Arial"/>
          <w:i/>
          <w:color w:val="333333"/>
          <w:sz w:val="18"/>
          <w:szCs w:val="18"/>
          <w:lang w:eastAsia="nl-NL"/>
        </w:rPr>
      </w:pPr>
      <w:r w:rsidRPr="008D4A26">
        <w:rPr>
          <w:rFonts w:ascii="Arial" w:eastAsia="Times New Roman" w:hAnsi="Arial" w:cs="Arial"/>
          <w:i/>
          <w:color w:val="333333"/>
          <w:sz w:val="18"/>
          <w:szCs w:val="18"/>
          <w:lang w:eastAsia="nl-NL"/>
        </w:rPr>
        <w:t>Dit is een voorbeeld van een investeringsbegroting. De bedragen zijn fictief.</w:t>
      </w:r>
    </w:p>
    <w:tbl>
      <w:tblPr>
        <w:tblW w:w="0" w:type="auto"/>
        <w:tblCellSpacing w:w="15" w:type="dxa"/>
        <w:shd w:val="clear" w:color="auto" w:fill="F6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870"/>
        <w:gridCol w:w="5324"/>
      </w:tblGrid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DDE7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l-NL"/>
              </w:rPr>
              <w:lastRenderedPageBreak/>
              <w:t>Onderdeel</w:t>
            </w:r>
          </w:p>
        </w:tc>
        <w:tc>
          <w:tcPr>
            <w:tcW w:w="0" w:type="auto"/>
            <w:shd w:val="clear" w:color="auto" w:fill="DDE7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l-NL"/>
              </w:rPr>
              <w:t>Bedrag</w:t>
            </w:r>
          </w:p>
        </w:tc>
        <w:tc>
          <w:tcPr>
            <w:tcW w:w="0" w:type="auto"/>
            <w:shd w:val="clear" w:color="auto" w:fill="DDE7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nl-NL"/>
              </w:rPr>
              <w:t>Omschrijving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l-NL"/>
              </w:rPr>
              <w:t>Vaste activa: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Dit zijn zaken die vastzitten in uw bedrijf en vrijwel niet veranderen.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Immateriële vaste zaken (zoals goodwill/entreegelden)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Dit betaalt u als u een bedrijf overneemt of deel gaat uitmaken van een franchiseorganisatie.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Grond inclusief kosten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Het bedrag dat u moet betalen voor de grond bij aankoop van een eigen pand.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Gebouwen en overig onroerend goed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Bedrag dat u betaalt voor een eigen pand.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Bouwkundige voorzieningen (zoals verbouwingen)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15.000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Verbouwing van bijvoorbeeld een </w:t>
            </w:r>
            <w:proofErr w:type="spellStart"/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huurpand</w:t>
            </w:r>
            <w:proofErr w:type="spellEnd"/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 xml:space="preserve"> (van uw bedrijf).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Machines en installaties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  6.000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Bijvoorbeeld een broodsnijmachine of een afzuiginstallatie.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Inventaris en gereedschap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  4.500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Bijvoorbeeld stellingen, lampen, stoelen, toonbank, gereedschap.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Computerapparatuur en software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  2.500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Hieronder vallen servers, software en pc´s, maar ook de kassa´s en het pinapparaat.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Transportmiddelen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10.000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De bedrijfsauto of bestelwagen.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l-NL"/>
              </w:rPr>
              <w:t>Totaal vaste activa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l-NL"/>
              </w:rPr>
              <w:t>38.000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l-NL"/>
              </w:rPr>
              <w:t>Vlottende activa: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Dit zijn zaken die niet vast in uw bedrijf zitten en vaak veranderen.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Voorraad grondstoffen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25.000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Voor een bakker is dit bijvoorbeeld meel.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Voorraad gereed product, handelsgoederen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In een winkel staat een bepaalde voorraad.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Onderhanden werk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Werk waarvoor u wel een opdracht heeft, maar dat u nog niet factureert (bijvoorbeeld taarten maken voor opdrachtgevers).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Debiteuren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U hebt geleverd en gefactureerd, maar de factuur is nog niet betaald. U heeft nu een vordering.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Voorfinanciering btw van vaste activa en voorraden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  5.000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U betaalt omzetbelasting over uw voorraad en investeringen.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Overlopende posten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  3.000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Bijvoorbeeld als u een huurgarantie van 3 maanden aan uw verhuurder moet afgeven.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Kas, bank, giro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10.000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Voorraad geld om mee te starten, uw omzet komt namelijk niet gelijk op gang.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l-NL"/>
              </w:rPr>
              <w:t>Totaal vlottende activa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l-NL"/>
              </w:rPr>
              <w:t>43.000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Openings- en aanloopkosten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 5.500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Extra geld dat nodig is om te starten en om uw bedrijf in het begin te promoten.</w:t>
            </w: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</w:p>
        </w:tc>
      </w:tr>
      <w:tr w:rsidR="00331BA2" w:rsidRPr="008D4A26" w:rsidTr="00C31B1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l-NL"/>
              </w:rPr>
              <w:t>Totaal investeringen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l-NL"/>
              </w:rPr>
              <w:t>86.500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BA2" w:rsidRPr="008D4A26" w:rsidRDefault="00331BA2" w:rsidP="00C31B1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</w:pP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Vaste activa + vlottende activa + openings- en aanloopkosten.</w:t>
            </w:r>
            <w:r w:rsidRPr="008D4A2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nl-NL"/>
              </w:rPr>
              <w:t> </w:t>
            </w:r>
            <w:r w:rsidRPr="008D4A26">
              <w:rPr>
                <w:rFonts w:ascii="Arial" w:eastAsia="Times New Roman" w:hAnsi="Arial" w:cs="Arial"/>
                <w:color w:val="333333"/>
                <w:sz w:val="18"/>
                <w:szCs w:val="18"/>
                <w:lang w:eastAsia="nl-NL"/>
              </w:rPr>
              <w:t>Dit is het bedrag dat u nodig heeft om te kunnen starten.</w:t>
            </w:r>
          </w:p>
        </w:tc>
      </w:tr>
    </w:tbl>
    <w:p w:rsidR="00331BA2" w:rsidRPr="00C3554A" w:rsidRDefault="00331BA2" w:rsidP="00331BA2">
      <w:pPr>
        <w:rPr>
          <w:b/>
          <w:sz w:val="28"/>
          <w:szCs w:val="28"/>
        </w:rPr>
      </w:pPr>
      <w:r w:rsidRPr="00C3554A">
        <w:rPr>
          <w:b/>
          <w:sz w:val="28"/>
          <w:szCs w:val="28"/>
        </w:rPr>
        <w:t>Opdracht: maak een investeringsbegroting voor de organisatie!!</w:t>
      </w:r>
    </w:p>
    <w:p w:rsidR="00374140" w:rsidRDefault="00374140">
      <w:bookmarkStart w:id="0" w:name="_GoBack"/>
      <w:bookmarkEnd w:id="0"/>
    </w:p>
    <w:sectPr w:rsidR="0037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0FF6"/>
    <w:multiLevelType w:val="hybridMultilevel"/>
    <w:tmpl w:val="D9620284"/>
    <w:lvl w:ilvl="0" w:tplc="E41CC3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A25E4"/>
    <w:multiLevelType w:val="multilevel"/>
    <w:tmpl w:val="96BE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A2"/>
    <w:rsid w:val="00331BA2"/>
    <w:rsid w:val="003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1BA2"/>
  </w:style>
  <w:style w:type="paragraph" w:styleId="Kop1">
    <w:name w:val="heading 1"/>
    <w:basedOn w:val="Standaard"/>
    <w:next w:val="Standaard"/>
    <w:link w:val="Kop1Char"/>
    <w:uiPriority w:val="9"/>
    <w:qFormat/>
    <w:rsid w:val="00331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31B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1B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31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1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331BA2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33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1BA2"/>
  </w:style>
  <w:style w:type="paragraph" w:styleId="Kop1">
    <w:name w:val="heading 1"/>
    <w:basedOn w:val="Standaard"/>
    <w:next w:val="Standaard"/>
    <w:link w:val="Kop1Char"/>
    <w:uiPriority w:val="9"/>
    <w:qFormat/>
    <w:rsid w:val="00331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31B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1B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31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1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331BA2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33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vd Meulen</dc:creator>
  <cp:keywords/>
  <dc:description/>
  <cp:lastModifiedBy>Jurgen vd Meulen</cp:lastModifiedBy>
  <cp:revision>1</cp:revision>
  <dcterms:created xsi:type="dcterms:W3CDTF">2013-12-04T15:11:00Z</dcterms:created>
  <dcterms:modified xsi:type="dcterms:W3CDTF">2013-12-04T15:11:00Z</dcterms:modified>
</cp:coreProperties>
</file>